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7C45" w14:textId="77777777" w:rsidR="002476E9" w:rsidRDefault="00533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4152"/>
      </w:tblGrid>
      <w:tr w:rsidR="002476E9" w14:paraId="6E964D34" w14:textId="77777777">
        <w:trPr>
          <w:jc w:val="center"/>
        </w:trPr>
        <w:tc>
          <w:tcPr>
            <w:tcW w:w="8522" w:type="dxa"/>
            <w:gridSpan w:val="2"/>
            <w:tcBorders>
              <w:bottom w:val="single" w:sz="12" w:space="0" w:color="auto"/>
            </w:tcBorders>
          </w:tcPr>
          <w:p w14:paraId="1CBF3664" w14:textId="77777777" w:rsidR="002476E9" w:rsidRDefault="00533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Supplementary Table 1. Information on missing data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476E9" w14:paraId="1A52EEBF" w14:textId="77777777">
        <w:trPr>
          <w:jc w:val="center"/>
        </w:trPr>
        <w:tc>
          <w:tcPr>
            <w:tcW w:w="4261" w:type="dxa"/>
            <w:tcBorders>
              <w:top w:val="single" w:sz="12" w:space="0" w:color="auto"/>
              <w:tl2br w:val="nil"/>
              <w:tr2bl w:val="nil"/>
            </w:tcBorders>
          </w:tcPr>
          <w:p w14:paraId="171CAA8C" w14:textId="77777777" w:rsidR="002476E9" w:rsidRDefault="0053357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Variables</w:t>
            </w:r>
          </w:p>
        </w:tc>
        <w:tc>
          <w:tcPr>
            <w:tcW w:w="4261" w:type="dxa"/>
            <w:tcBorders>
              <w:top w:val="single" w:sz="12" w:space="0" w:color="auto"/>
              <w:tl2br w:val="nil"/>
              <w:tr2bl w:val="nil"/>
            </w:tcBorders>
          </w:tcPr>
          <w:p w14:paraId="41C76AA4" w14:textId="77777777" w:rsidR="002476E9" w:rsidRDefault="0053357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Missing information</w:t>
            </w:r>
          </w:p>
        </w:tc>
      </w:tr>
      <w:tr w:rsidR="002476E9" w14:paraId="6059AEDD" w14:textId="77777777">
        <w:trPr>
          <w:jc w:val="center"/>
        </w:trPr>
        <w:tc>
          <w:tcPr>
            <w:tcW w:w="4261" w:type="dxa"/>
            <w:tcBorders>
              <w:top w:val="single" w:sz="12" w:space="0" w:color="auto"/>
              <w:tl2br w:val="nil"/>
              <w:tr2bl w:val="nil"/>
            </w:tcBorders>
          </w:tcPr>
          <w:p w14:paraId="7A9DCEB4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Preoperative albumin</w:t>
            </w:r>
          </w:p>
        </w:tc>
        <w:tc>
          <w:tcPr>
            <w:tcW w:w="4261" w:type="dxa"/>
            <w:tcBorders>
              <w:top w:val="single" w:sz="12" w:space="0" w:color="auto"/>
              <w:tl2br w:val="nil"/>
              <w:tr2bl w:val="nil"/>
            </w:tcBorders>
          </w:tcPr>
          <w:p w14:paraId="130FCDDF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476E9" w14:paraId="734F9860" w14:textId="77777777"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</w:tcPr>
          <w:p w14:paraId="6B963FBB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Hemoglobin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E17D4E7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476E9" w14:paraId="22792D9C" w14:textId="77777777"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</w:tcPr>
          <w:p w14:paraId="4F95A1D2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Left ventricular ejection fraction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A6DD460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476E9" w14:paraId="5EEB9378" w14:textId="77777777"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</w:tcPr>
          <w:p w14:paraId="1DD77F22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output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F34FD70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  <w:tr w:rsidR="002476E9" w14:paraId="55ED0C9F" w14:textId="77777777">
        <w:trPr>
          <w:jc w:val="center"/>
        </w:trPr>
        <w:tc>
          <w:tcPr>
            <w:tcW w:w="4261" w:type="dxa"/>
            <w:tcBorders>
              <w:tl2br w:val="nil"/>
              <w:tr2bl w:val="nil"/>
            </w:tcBorders>
          </w:tcPr>
          <w:p w14:paraId="0E853E16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1C1F23"/>
                <w:sz w:val="18"/>
                <w:szCs w:val="18"/>
                <w:shd w:val="clear" w:color="auto" w:fill="FFFFFF"/>
              </w:rPr>
              <w:t>Total input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8AB7D27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(0.2%)</w:t>
            </w:r>
          </w:p>
        </w:tc>
      </w:tr>
      <w:tr w:rsidR="002476E9" w14:paraId="22522BB6" w14:textId="77777777">
        <w:trPr>
          <w:jc w:val="center"/>
        </w:trPr>
        <w:tc>
          <w:tcPr>
            <w:tcW w:w="4261" w:type="dxa"/>
            <w:tcBorders>
              <w:bottom w:val="single" w:sz="12" w:space="0" w:color="auto"/>
            </w:tcBorders>
          </w:tcPr>
          <w:p w14:paraId="020A063C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length of aortic cross-clamping</w:t>
            </w:r>
          </w:p>
        </w:tc>
        <w:tc>
          <w:tcPr>
            <w:tcW w:w="4261" w:type="dxa"/>
            <w:tcBorders>
              <w:bottom w:val="single" w:sz="12" w:space="0" w:color="auto"/>
            </w:tcBorders>
          </w:tcPr>
          <w:p w14:paraId="559DD070" w14:textId="77777777" w:rsidR="002476E9" w:rsidRDefault="00533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(9.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</w:tr>
    </w:tbl>
    <w:p w14:paraId="4563B97D" w14:textId="77777777" w:rsidR="002476E9" w:rsidRDefault="002476E9">
      <w:pPr>
        <w:rPr>
          <w:rFonts w:ascii="Times New Roman" w:hAnsi="Times New Roman" w:cs="Times New Roman"/>
          <w:sz w:val="18"/>
          <w:szCs w:val="18"/>
        </w:rPr>
        <w:sectPr w:rsidR="002476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2277"/>
        <w:gridCol w:w="1660"/>
        <w:gridCol w:w="1640"/>
        <w:gridCol w:w="1575"/>
        <w:gridCol w:w="1678"/>
        <w:gridCol w:w="818"/>
        <w:gridCol w:w="818"/>
      </w:tblGrid>
      <w:tr w:rsidR="002476E9" w14:paraId="44D72A38" w14:textId="77777777">
        <w:trPr>
          <w:trHeight w:hRule="exact" w:val="397"/>
          <w:jc w:val="center"/>
        </w:trPr>
        <w:tc>
          <w:tcPr>
            <w:tcW w:w="1046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B81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Supplementary Table 2. Patient demographics and baseline characteristics stratified by the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-BMI quartiles</w:t>
            </w:r>
          </w:p>
        </w:tc>
      </w:tr>
      <w:tr w:rsidR="002476E9" w14:paraId="57A2CAE0" w14:textId="77777777">
        <w:trPr>
          <w:trHeight w:hRule="exact" w:val="397"/>
          <w:jc w:val="center"/>
        </w:trPr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7F9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b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5DC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Q1 [106,16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5]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95A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[166,19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4]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F2E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Q3 [195,2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19]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231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Q4 [220,403]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0D4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BB9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P-value</w:t>
            </w:r>
          </w:p>
        </w:tc>
      </w:tr>
      <w:tr w:rsidR="002476E9" w14:paraId="4FE7AD27" w14:textId="77777777">
        <w:trPr>
          <w:trHeight w:hRule="exact" w:val="397"/>
          <w:jc w:val="center"/>
        </w:trPr>
        <w:tc>
          <w:tcPr>
            <w:tcW w:w="22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DB9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-BMI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6FD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155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146, 160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B31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181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174, 187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5C9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206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200, 212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807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239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230, 251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82F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 w:hint="eastAsia"/>
                <w:color w:val="000000"/>
                <w:sz w:val="18"/>
                <w:szCs w:val="18"/>
              </w:rPr>
              <w:t>610.31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E04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6A67101C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953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CSA-AKI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8BD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26 (16.0)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6C9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34 (20.9)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1E3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75 (46.0)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038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 (54.6)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A92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77.09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507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466F1CD1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F53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055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45, 65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7D7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58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53, 66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23C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51, 65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CE2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59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53, 65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A85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10.81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286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0.013</w:t>
            </w:r>
          </w:p>
        </w:tc>
      </w:tr>
      <w:tr w:rsidR="002476E9" w14:paraId="3D5D2653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466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Sex (woman)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E9E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96 (58.9)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332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81 (49.7)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636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81 (49.7)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A41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82 (50.3)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832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3.98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B68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0.263</w:t>
            </w:r>
          </w:p>
        </w:tc>
      </w:tr>
      <w:tr w:rsidR="002476E9" w14:paraId="7BB692D1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159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BMI (kg/m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411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18.9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17.8, 19.6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ACC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21.5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20.5, 22.4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1D1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23.5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22.7, 24.4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36C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26.4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25.1, 27.9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024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533.99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4E2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7E2302F8" w14:textId="77777777">
        <w:trPr>
          <w:trHeight w:hRule="exact" w:val="397"/>
          <w:jc w:val="center"/>
        </w:trPr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50B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Preoperative medical histories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4364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4046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9B50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3CC0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9926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00808C91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DED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32D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(13.5)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764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33 (20.2)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061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(30.1)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7B3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 (47.2)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B9E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52.40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CE3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61E45C9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4AD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6AA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54F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 (9.2)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C46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 (18.4)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652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47 (28.8)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884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51.11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6EE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16A7EBBB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3AC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Coronary heart disease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3B3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 (36.8)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31F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89 (54.6)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509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84 (51.5)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300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107 (65.6)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7CD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27.68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5CE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700C1B2E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338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Hyperuricemia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D70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46 (28.2)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F8B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63 (38.7)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270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 (36.8)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06F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66 (40.5)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465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726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0.100</w:t>
            </w:r>
          </w:p>
        </w:tc>
      </w:tr>
      <w:tr w:rsidR="002476E9" w14:paraId="508B6712" w14:textId="77777777">
        <w:trPr>
          <w:trHeight w:hRule="exact" w:val="397"/>
          <w:jc w:val="center"/>
        </w:trPr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A94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18"/>
                <w:szCs w:val="18"/>
              </w:rPr>
              <w:t>Preoperative Lab results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BC1E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B4FF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7C44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308C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174B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144E200F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FAA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Albumin (g/L)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903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39.3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36.1, 42.2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983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38.7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36.0, 41.6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A16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39.0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36.8, 41.8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502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39.4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37.5, 41.8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B5B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078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0.259</w:t>
            </w:r>
          </w:p>
        </w:tc>
      </w:tr>
      <w:tr w:rsidR="002476E9" w14:paraId="748B02CA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8F7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LDL-C (mg/dL)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25B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86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69, 107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DAF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98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80, 118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D8E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96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77, 122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EA5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99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77, 122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C07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3E1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5E6AF5F0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FFD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HDL-C (mg/dL)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8EE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51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42, 62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F50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45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38, 56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2DE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44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39, 51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78A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43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37, 50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325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28.64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A42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02B308DC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DCB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eGFR (mL/min/1.73m²)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35B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87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70, 105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C5B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68, 100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9AB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70, 98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E52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82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65, 98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E91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7.98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911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0.046</w:t>
            </w:r>
          </w:p>
        </w:tc>
      </w:tr>
      <w:tr w:rsidR="002476E9" w14:paraId="09B784E6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89C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BUN (mmol/L)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924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5.92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4.49, 7.78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BAF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5.92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4.70, 7.89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2AF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5.92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4.62, 7.54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FC2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5.64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4.51, 7.84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0CA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7FB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0.985</w:t>
            </w:r>
          </w:p>
        </w:tc>
      </w:tr>
      <w:tr w:rsidR="002476E9" w14:paraId="5C4D8698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10D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 xml:space="preserve"> index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000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8.10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7.79, 8.39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A4D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8.40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8.17, 8.73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E06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8.70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8.42, 9.08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DB7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9.14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8.72, 9.58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2A1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240.82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B2D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45F58BDC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60B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TG (mg/dL)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259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74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59, 96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50D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74, 126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6ED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119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94, 158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4DE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163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112, 229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41B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212.10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655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3A609B75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400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Glucose (mg/dl)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175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84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77, 96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AF7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91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80, 111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2A1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83, 116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818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103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88, 148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F59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67.25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D03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32D5CCBF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AA4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Hemoglobin (g/L)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1AC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131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118, 144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E14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134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121, 148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FF4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137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125, 149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6AD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138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126, 150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325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2B3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0.019</w:t>
            </w:r>
          </w:p>
        </w:tc>
      </w:tr>
      <w:tr w:rsidR="002476E9" w14:paraId="40B2AE14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C7BF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Preoperative LVEF 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EF5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63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57, 68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244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65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60, 69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E16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63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58, 67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F5B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63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57, 67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A03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C6D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0.122</w:t>
            </w:r>
          </w:p>
        </w:tc>
      </w:tr>
      <w:tr w:rsidR="002476E9" w14:paraId="42690DC6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0C0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Coronary Angiography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75C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114 (69.9)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628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129 (79.1)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C6D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130 (79.8)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029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130 (79.8)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0DD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6.43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AB8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0.093</w:t>
            </w:r>
          </w:p>
        </w:tc>
      </w:tr>
      <w:tr w:rsidR="002476E9" w14:paraId="44315197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3EB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Preoperative medications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FD5E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DCA8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0D3F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F929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7A79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7968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0E1C33C6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DA4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 xml:space="preserve">Cardiovascular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medications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E07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103 (63.2)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D73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106 (65.0)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BDC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113 (69.3)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7DF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132 (81.0)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648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14.77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ECF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2476E9" w14:paraId="4E9A921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FDA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Lipid-lowering medications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0D5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43 (26.4)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76A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63 (38.7)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1A7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69 (42.3)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0DF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90 (55.2)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A84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28.55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B84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33CC200C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B12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>nti-diabetic medications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30D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 (4.9)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4B6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 (7.4)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50B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22 (13.5)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1D7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35 (21.5)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C1C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25.61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2E8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2476E9" w14:paraId="38386982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38A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Diuretic medications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9B9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148 (90.8)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73B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158 (96.9)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BDE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159 (97.5)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DD8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146 (89.6)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182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14.03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774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0.003</w:t>
            </w:r>
          </w:p>
        </w:tc>
      </w:tr>
      <w:tr w:rsidR="002476E9" w14:paraId="3FAD54B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792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Surgical information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3166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FA88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2380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B527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4FDD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C20E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32FFD2AA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1B8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ASA classifications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7146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52E3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9ABE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416A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69E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C06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0.660</w:t>
            </w:r>
          </w:p>
        </w:tc>
      </w:tr>
      <w:tr w:rsidR="002476E9" w14:paraId="2730E197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9F0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II-III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65C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47 (28.8)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1AE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57 (35.0)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CB7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51 (31.3)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83B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49 (30.1)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0ED2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48E3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164F498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2F6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IV-V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7EB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116 (71.2)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401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106 (65.0)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981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112 (68.7)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114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114 (69.9)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CA3A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BDDA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778C56C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D1A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TW-AUC MBP &lt; 60 mmHg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E48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1.90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1.12, 3.14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F82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1.52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0.78, 2.97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A3B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1.76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0.85, 2.77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7C6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1.85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0.99, 3.26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DFE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214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0.164</w:t>
            </w:r>
          </w:p>
        </w:tc>
      </w:tr>
      <w:tr w:rsidR="002476E9" w14:paraId="18B9ACA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423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Total output (ml)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540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1200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1000, 1700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CAD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1300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1000, 1700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36C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1200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950, 1600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8C5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1250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1000, 1800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B39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6.97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1E8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0.073</w:t>
            </w:r>
          </w:p>
        </w:tc>
      </w:tr>
      <w:tr w:rsidR="002476E9" w14:paraId="226BF77F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88C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Total input</w:t>
            </w:r>
            <w:r>
              <w:rPr>
                <w:rFonts w:ascii="Times New Roman" w:eastAsia="DejaVu Sans" w:hAnsi="Times New Roman" w:cs="Times New Roman"/>
                <w:bCs/>
                <w:color w:val="000000"/>
                <w:sz w:val="18"/>
                <w:szCs w:val="18"/>
              </w:rPr>
              <w:t xml:space="preserve"> (ml)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8C7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1000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750, 1000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9E5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1000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1000, 1250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C1F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1000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1,000, 1250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55E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1000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750, 1000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871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4C4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0.127</w:t>
            </w:r>
          </w:p>
        </w:tc>
      </w:tr>
      <w:tr w:rsidR="002476E9" w14:paraId="42D682AE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8E9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RBC transfusion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0D5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29 (17.8)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F42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18 (11.0)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758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19 (11.7)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85F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14 (8.6)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B26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5F0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0.073</w:t>
            </w:r>
          </w:p>
        </w:tc>
      </w:tr>
      <w:tr w:rsidR="002476E9" w14:paraId="3430DF8B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147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Plasma transfusion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0F7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73 (44.8)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3A3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86 (52.8)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749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72 (44.2)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C7C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80 (49.1)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D73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423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0.367</w:t>
            </w:r>
          </w:p>
        </w:tc>
      </w:tr>
      <w:tr w:rsidR="002476E9" w14:paraId="5ABA410A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ADB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The length of anesthesia (min)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081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335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285, 405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6CA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365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310, 420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D88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355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305, 415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4E3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365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310, 435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BE3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12.60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121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2476E9" w14:paraId="047EB594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156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The length of ACC (min)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7C3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96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68, 142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3BB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110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77, 145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F7B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108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74, 145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A9E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102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76, 140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EF6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69D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0.253</w:t>
            </w:r>
          </w:p>
        </w:tc>
      </w:tr>
      <w:tr w:rsidR="002476E9" w14:paraId="007AD928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990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Surgical types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661A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D500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4DDF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3B00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6AC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31.85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573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2476E9" w14:paraId="7F742946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8BA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Great vessels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616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8 (4.9)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B82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(4.3)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E95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 (6.7)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0BCC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 (6.7)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4C62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F2B7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6747F6FF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579F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Valves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258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110 (67.5)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CA2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123 (75.5)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AAF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121 (74.2)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57B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113 (69.3)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D1BC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F35C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3D7BF449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880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CABG and valves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43E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696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9 (5.5)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892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4 (2.5)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773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7 (4.3)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D2FF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3098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7B54747D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6FC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CABG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2EA3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FB0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5 (3.1)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374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11 (6.7)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7D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19 (11.7)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A767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D22B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7B431FCD" w14:textId="77777777">
        <w:trPr>
          <w:trHeight w:hRule="exact" w:val="397"/>
          <w:jc w:val="center"/>
        </w:trPr>
        <w:tc>
          <w:tcPr>
            <w:tcW w:w="2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DA7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right="2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04C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35 (21.5)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3D8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19 (11.7)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575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16 (9.8)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06B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13 (8.0)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3BC0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011A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 w:line="360" w:lineRule="auto"/>
              <w:ind w:left="20" w:right="20" w:firstLineChars="5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6E9" w14:paraId="6FCC1820" w14:textId="77777777">
        <w:trPr>
          <w:trHeight w:hRule="exact" w:val="2737"/>
          <w:jc w:val="center"/>
        </w:trPr>
        <w:tc>
          <w:tcPr>
            <w:tcW w:w="1046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081D" w14:textId="77777777" w:rsidR="002476E9" w:rsidRDefault="005335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The categorical data is expressed as n (percentage), and continuous data is represented as median [quartiles]. 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Statistics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: Kruskal-Wallis rank sum test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18"/>
                <w:szCs w:val="18"/>
              </w:rPr>
              <w:t>(H)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and Pearson's Chi-squared test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χ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). </w:t>
            </w:r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 xml:space="preserve">CSA-AKI: cardiac surgery associated-acute kidney injury; 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 w:val="18"/>
                <w:szCs w:val="18"/>
              </w:rPr>
              <w:t>-BMI: triglyceride glucose-body mass index; BMI: body mass index; CHD: coronary heart disease; LDL-C: low-density lipoprotein cholesterol; HDL-C: high-density lipoprotein cholesterol; eGFR: estimated Glomerular Filtration Rate; BUN: blood urea nitrogen; LVEF: left ventricular ejection fraction. ASA classifications: American Society of Anesthesiologists; TW-AUC MBP &lt;60 mmHg: the time-weighted area under the curve mean blood pressure &lt;60 mmHg; RBC: red blood cell; ACC: aortic cross-clamping; CABG: coronary artery bypass grafting. Other surgery types included congenital heart disease surgery and cardiac myxoma surgery.</w:t>
            </w:r>
          </w:p>
        </w:tc>
      </w:tr>
    </w:tbl>
    <w:p w14:paraId="03C66A6E" w14:textId="77777777" w:rsidR="002476E9" w:rsidRDefault="002476E9">
      <w:pPr>
        <w:rPr>
          <w:rFonts w:ascii="Times New Roman" w:hAnsi="Times New Roman" w:cs="Times New Roman"/>
          <w:sz w:val="18"/>
          <w:szCs w:val="18"/>
        </w:rPr>
        <w:sectPr w:rsidR="002476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EDB987" w14:textId="77777777" w:rsidR="002476E9" w:rsidRDefault="0053357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Table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3.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AUCs and 95% CI</w:t>
      </w:r>
    </w:p>
    <w:tbl>
      <w:tblPr>
        <w:tblW w:w="916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922"/>
        <w:gridCol w:w="600"/>
        <w:gridCol w:w="1060"/>
        <w:gridCol w:w="847"/>
        <w:gridCol w:w="857"/>
        <w:gridCol w:w="621"/>
        <w:gridCol w:w="3401"/>
      </w:tblGrid>
      <w:tr w:rsidR="002476E9" w14:paraId="5737D54B" w14:textId="77777777">
        <w:trPr>
          <w:tblHeader/>
          <w:jc w:val="center"/>
        </w:trPr>
        <w:tc>
          <w:tcPr>
            <w:tcW w:w="853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596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Response</w:t>
            </w:r>
          </w:p>
        </w:tc>
        <w:tc>
          <w:tcPr>
            <w:tcW w:w="922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3A2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Predictor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C86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AUC</w:t>
            </w:r>
          </w:p>
        </w:tc>
        <w:tc>
          <w:tcPr>
            <w:tcW w:w="1060" w:type="dxa"/>
            <w:tcBorders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EAC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95% CI</w:t>
            </w:r>
          </w:p>
        </w:tc>
        <w:tc>
          <w:tcPr>
            <w:tcW w:w="847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53F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 w:hint="eastAsia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ensitivity</w:t>
            </w:r>
          </w:p>
        </w:tc>
        <w:tc>
          <w:tcPr>
            <w:tcW w:w="857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1B9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eastAsia="DejaVu Sans" w:hAnsi="Times New Roman" w:cs="Times New Roman" w:hint="eastAsia"/>
                <w:color w:val="000000" w:themeColor="text1"/>
                <w:sz w:val="18"/>
                <w:szCs w:val="18"/>
              </w:rPr>
              <w:t>pecificity</w:t>
            </w:r>
          </w:p>
        </w:tc>
        <w:tc>
          <w:tcPr>
            <w:tcW w:w="621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C51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Cutoff</w:t>
            </w:r>
          </w:p>
        </w:tc>
        <w:tc>
          <w:tcPr>
            <w:tcW w:w="3401" w:type="dxa"/>
            <w:tcBorders>
              <w:left w:val="nil"/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4E7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DeLong’s test between two indicators</w:t>
            </w:r>
          </w:p>
        </w:tc>
      </w:tr>
      <w:tr w:rsidR="002476E9" w14:paraId="394C0B80" w14:textId="77777777">
        <w:trPr>
          <w:jc w:val="center"/>
        </w:trPr>
        <w:tc>
          <w:tcPr>
            <w:tcW w:w="853" w:type="dxa"/>
            <w:vMerge w:val="restart"/>
            <w:tcBorders>
              <w:top w:val="single" w:sz="6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8DD1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CSA-AKI</w:t>
            </w:r>
          </w:p>
        </w:tc>
        <w:tc>
          <w:tcPr>
            <w:tcW w:w="922" w:type="dxa"/>
            <w:tcBorders>
              <w:top w:val="single" w:sz="6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502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600" w:type="dxa"/>
            <w:tcBorders>
              <w:top w:val="single" w:sz="6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087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0.681</w:t>
            </w:r>
          </w:p>
        </w:tc>
        <w:tc>
          <w:tcPr>
            <w:tcW w:w="1060" w:type="dxa"/>
            <w:tcBorders>
              <w:top w:val="single" w:sz="6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9ED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0.638 - 0.724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2BAA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65.6%</w:t>
            </w: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143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63.8%</w:t>
            </w:r>
          </w:p>
        </w:tc>
        <w:tc>
          <w:tcPr>
            <w:tcW w:w="621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4F30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22.8</w:t>
            </w:r>
          </w:p>
        </w:tc>
        <w:tc>
          <w:tcPr>
            <w:tcW w:w="3401" w:type="dxa"/>
            <w:tcBorders>
              <w:top w:val="single" w:sz="6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B4F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>-BMI vs. BMI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p&lt;0.001</w:t>
            </w:r>
          </w:p>
        </w:tc>
      </w:tr>
      <w:tr w:rsidR="002476E9" w14:paraId="56779E32" w14:textId="77777777">
        <w:trPr>
          <w:jc w:val="center"/>
        </w:trPr>
        <w:tc>
          <w:tcPr>
            <w:tcW w:w="853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132E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91D9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E5E8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0.712</w:t>
            </w:r>
          </w:p>
        </w:tc>
        <w:tc>
          <w:tcPr>
            <w:tcW w:w="1060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D85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 w:hint="eastAsia"/>
                <w:color w:val="000000" w:themeColor="text1"/>
                <w:sz w:val="18"/>
                <w:szCs w:val="18"/>
              </w:rPr>
              <w:t>0.671 - 0.753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3A0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73.2%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EFC5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62.9%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0826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3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5A64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 xml:space="preserve">-BMI vs.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p=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0.02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2476E9" w14:paraId="217C04F7" w14:textId="77777777">
        <w:trPr>
          <w:jc w:val="center"/>
        </w:trPr>
        <w:tc>
          <w:tcPr>
            <w:tcW w:w="853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C545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D17E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index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980D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1060" w:type="dxa"/>
            <w:tcBorders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1D4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DejaVu Sans" w:hAnsi="Times New Roman" w:cs="Times New Roman" w:hint="eastAsia"/>
                <w:color w:val="000000" w:themeColor="text1"/>
                <w:sz w:val="18"/>
                <w:szCs w:val="18"/>
              </w:rPr>
              <w:t>0.624 - 0.709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6F62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77.7%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D1BB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49.1%</w:t>
            </w:r>
          </w:p>
        </w:tc>
        <w:tc>
          <w:tcPr>
            <w:tcW w:w="621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9F37" w14:textId="77777777" w:rsidR="002476E9" w:rsidRDefault="005335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8.41</w:t>
            </w:r>
          </w:p>
        </w:tc>
        <w:tc>
          <w:tcPr>
            <w:tcW w:w="3401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E83C" w14:textId="77777777" w:rsidR="002476E9" w:rsidRDefault="002476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D72FEE" w14:textId="77777777" w:rsidR="002476E9" w:rsidRDefault="0053357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AUC: area under the curve; CI: confidence interval; CSA-AKI: acute kidney injury following cardiac surgery; BMI: body mass index; </w:t>
      </w:r>
      <w:proofErr w:type="spellStart"/>
      <w:r>
        <w:rPr>
          <w:rFonts w:ascii="Times New Roman" w:hAnsi="Times New Roman" w:cs="Times New Roman"/>
          <w:sz w:val="18"/>
          <w:szCs w:val="18"/>
        </w:rPr>
        <w:t>TyG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index: triglyceride-glucose index.</w:t>
      </w:r>
    </w:p>
    <w:p w14:paraId="335679C8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178AA99A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3D993869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tbl>
      <w:tblPr>
        <w:tblStyle w:val="ae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669"/>
        <w:gridCol w:w="790"/>
        <w:gridCol w:w="1660"/>
        <w:gridCol w:w="750"/>
      </w:tblGrid>
      <w:tr w:rsidR="002476E9" w14:paraId="757A582D" w14:textId="77777777">
        <w:trPr>
          <w:jc w:val="center"/>
        </w:trPr>
        <w:tc>
          <w:tcPr>
            <w:tcW w:w="10504" w:type="dxa"/>
            <w:gridSpan w:val="5"/>
            <w:tcBorders>
              <w:top w:val="nil"/>
              <w:bottom w:val="single" w:sz="12" w:space="0" w:color="auto"/>
            </w:tcBorders>
          </w:tcPr>
          <w:p w14:paraId="3A15E837" w14:textId="3A6D6810" w:rsidR="002476E9" w:rsidRDefault="0053357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</w:rPr>
              <w:t>Supplementary Table 4</w:t>
            </w:r>
            <w:r w:rsidR="00DC7E50">
              <w:rPr>
                <w:rFonts w:ascii="Times New Roman" w:eastAsia="仿宋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18"/>
                <w:szCs w:val="18"/>
              </w:rPr>
              <w:t>Comparison</w:t>
            </w: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18"/>
                <w:szCs w:val="18"/>
              </w:rPr>
              <w:t xml:space="preserve">of </w:t>
            </w: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the NRIs and IDIs between three indicators + basic model (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PredictABEL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 package)</w:t>
            </w:r>
          </w:p>
        </w:tc>
      </w:tr>
      <w:tr w:rsidR="002476E9" w14:paraId="3E1B3618" w14:textId="77777777">
        <w:trPr>
          <w:jc w:val="center"/>
        </w:trPr>
        <w:tc>
          <w:tcPr>
            <w:tcW w:w="5635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14:paraId="71959A26" w14:textId="77777777" w:rsidR="002476E9" w:rsidRDefault="0053357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Comparision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 between three indicators + basic model</w:t>
            </w:r>
          </w:p>
        </w:tc>
        <w:tc>
          <w:tcPr>
            <w:tcW w:w="48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1347A1E9" w14:textId="77777777" w:rsidR="002476E9" w:rsidRDefault="0053357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Comparision</w:t>
            </w:r>
            <w:proofErr w:type="spellEnd"/>
          </w:p>
        </w:tc>
      </w:tr>
      <w:tr w:rsidR="002476E9" w14:paraId="22CB15E1" w14:textId="77777777">
        <w:trPr>
          <w:jc w:val="center"/>
        </w:trPr>
        <w:tc>
          <w:tcPr>
            <w:tcW w:w="5635" w:type="dxa"/>
            <w:tcBorders>
              <w:top w:val="single" w:sz="6" w:space="0" w:color="auto"/>
              <w:right w:val="nil"/>
            </w:tcBorders>
          </w:tcPr>
          <w:p w14:paraId="34F71761" w14:textId="77777777" w:rsidR="002476E9" w:rsidRDefault="002476E9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48A3DB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NRI (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continious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C2C434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9EDC8D8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IDI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3EEB05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2476E9" w14:paraId="0C956CD7" w14:textId="77777777">
        <w:trPr>
          <w:jc w:val="center"/>
        </w:trPr>
        <w:tc>
          <w:tcPr>
            <w:tcW w:w="5635" w:type="dxa"/>
            <w:tcBorders>
              <w:bottom w:val="nil"/>
              <w:right w:val="nil"/>
            </w:tcBorders>
          </w:tcPr>
          <w:p w14:paraId="64132444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basic model + 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-BMI vs. basic model + 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TyG</w:t>
            </w:r>
            <w:proofErr w:type="spellEnd"/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</w:tcPr>
          <w:p w14:paraId="4D632223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0.597 (0.523-0.669)</w:t>
            </w: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</w:tcPr>
          <w:p w14:paraId="6F2185F5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&lt;0.001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D01C2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0.043 (0.026-0.061)</w:t>
            </w:r>
          </w:p>
        </w:tc>
        <w:tc>
          <w:tcPr>
            <w:tcW w:w="750" w:type="dxa"/>
            <w:tcBorders>
              <w:left w:val="nil"/>
              <w:bottom w:val="nil"/>
            </w:tcBorders>
          </w:tcPr>
          <w:p w14:paraId="17D97620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&lt;0.001</w:t>
            </w:r>
          </w:p>
        </w:tc>
      </w:tr>
      <w:tr w:rsidR="002476E9" w14:paraId="2C2593E0" w14:textId="77777777">
        <w:trPr>
          <w:jc w:val="center"/>
        </w:trPr>
        <w:tc>
          <w:tcPr>
            <w:tcW w:w="5635" w:type="dxa"/>
            <w:tcBorders>
              <w:right w:val="nil"/>
            </w:tcBorders>
          </w:tcPr>
          <w:p w14:paraId="5B7D24F5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basic model + 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-BMI vs. basic model + BMI</w:t>
            </w:r>
          </w:p>
        </w:tc>
        <w:tc>
          <w:tcPr>
            <w:tcW w:w="1669" w:type="dxa"/>
            <w:tcBorders>
              <w:left w:val="nil"/>
              <w:right w:val="nil"/>
            </w:tcBorders>
            <w:shd w:val="clear" w:color="auto" w:fill="auto"/>
          </w:tcPr>
          <w:p w14:paraId="6AFFB553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0.597 (0.523-0.669)</w:t>
            </w:r>
          </w:p>
        </w:tc>
        <w:tc>
          <w:tcPr>
            <w:tcW w:w="790" w:type="dxa"/>
            <w:tcBorders>
              <w:left w:val="nil"/>
              <w:right w:val="nil"/>
            </w:tcBorders>
            <w:shd w:val="clear" w:color="auto" w:fill="auto"/>
          </w:tcPr>
          <w:p w14:paraId="6EDC27B0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&lt;0.001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EEB7291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0.012 (0.003-0.020)</w:t>
            </w:r>
          </w:p>
        </w:tc>
        <w:tc>
          <w:tcPr>
            <w:tcW w:w="750" w:type="dxa"/>
            <w:tcBorders>
              <w:left w:val="nil"/>
            </w:tcBorders>
            <w:shd w:val="clear" w:color="auto" w:fill="auto"/>
          </w:tcPr>
          <w:p w14:paraId="7996E03E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0.008</w:t>
            </w:r>
          </w:p>
        </w:tc>
      </w:tr>
      <w:tr w:rsidR="002476E9" w14:paraId="6F5A8200" w14:textId="77777777">
        <w:trPr>
          <w:jc w:val="center"/>
        </w:trPr>
        <w:tc>
          <w:tcPr>
            <w:tcW w:w="10504" w:type="dxa"/>
            <w:gridSpan w:val="5"/>
            <w:tcBorders>
              <w:bottom w:val="single" w:sz="12" w:space="0" w:color="auto"/>
            </w:tcBorders>
          </w:tcPr>
          <w:p w14:paraId="38A6BAD6" w14:textId="77777777" w:rsidR="002476E9" w:rsidRDefault="00533571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Abbreviations: AUC: Area Under the Curve; NRI: Net Reclassification Improvement; IDI: Integrated Discrimination Improvement; 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 xml:space="preserve">: Triglyceride-Glucose Index; BMI: Body Mass Index; </w:t>
            </w:r>
            <w:proofErr w:type="spellStart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TyG</w:t>
            </w:r>
            <w:proofErr w:type="spellEnd"/>
            <w:r>
              <w:rPr>
                <w:rFonts w:ascii="Times New Roman" w:eastAsia="仿宋" w:hAnsi="Times New Roman" w:cs="Times New Roman" w:hint="eastAsia"/>
                <w:bCs/>
                <w:sz w:val="18"/>
                <w:szCs w:val="18"/>
              </w:rPr>
              <w:t>-BMI: Triglyceride-Glucose-Body Mass Index.</w:t>
            </w:r>
          </w:p>
        </w:tc>
      </w:tr>
    </w:tbl>
    <w:p w14:paraId="7E3A272B" w14:textId="77777777" w:rsidR="002476E9" w:rsidRDefault="002476E9">
      <w:pPr>
        <w:spacing w:line="360" w:lineRule="auto"/>
      </w:pPr>
    </w:p>
    <w:p w14:paraId="17FD8F7D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7576736B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5C36B4DF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39C5C985" w14:textId="77777777" w:rsidR="002476E9" w:rsidRDefault="00533571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/>
          <w:b/>
          <w:szCs w:val="21"/>
        </w:rPr>
        <w:t xml:space="preserve">Supplementary Figs. </w:t>
      </w:r>
      <w:r>
        <w:rPr>
          <w:rFonts w:ascii="Times New Roman" w:eastAsia="仿宋" w:hAnsi="Times New Roman" w:cs="Times New Roman" w:hint="eastAsia"/>
          <w:b/>
          <w:szCs w:val="21"/>
        </w:rPr>
        <w:t>1-4</w:t>
      </w:r>
    </w:p>
    <w:p w14:paraId="73D0CC7A" w14:textId="77777777" w:rsidR="002476E9" w:rsidRDefault="00533571">
      <w:pPr>
        <w:spacing w:line="360" w:lineRule="auto"/>
        <w:rPr>
          <w:rFonts w:ascii="Times New Roman" w:eastAsia="仿宋" w:hAnsi="Times New Roman" w:cs="Times New Roman"/>
          <w:bCs/>
          <w:szCs w:val="21"/>
        </w:rPr>
      </w:pPr>
      <w:r>
        <w:rPr>
          <w:rFonts w:ascii="Times New Roman" w:eastAsia="仿宋" w:hAnsi="Times New Roman" w:cs="Times New Roman" w:hint="eastAsia"/>
          <w:bCs/>
          <w:szCs w:val="21"/>
        </w:rPr>
        <w:t xml:space="preserve">Predictive models were developed for the overall cohort to enhance the clinical utility of </w:t>
      </w:r>
      <w:proofErr w:type="spellStart"/>
      <w:r>
        <w:rPr>
          <w:rFonts w:ascii="Times New Roman" w:eastAsia="仿宋" w:hAnsi="Times New Roman" w:cs="Times New Roman" w:hint="eastAsia"/>
          <w:bCs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Cs/>
          <w:szCs w:val="21"/>
        </w:rPr>
        <w:t xml:space="preserve">-BMI, </w:t>
      </w:r>
      <w:proofErr w:type="spellStart"/>
      <w:r>
        <w:rPr>
          <w:rFonts w:ascii="Times New Roman" w:eastAsia="仿宋" w:hAnsi="Times New Roman" w:cs="Times New Roman" w:hint="eastAsia"/>
          <w:bCs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Cs/>
          <w:szCs w:val="21"/>
        </w:rPr>
        <w:t xml:space="preserve">, and BMI. For internal validation, </w:t>
      </w:r>
      <w:r>
        <w:rPr>
          <w:rFonts w:ascii="Times New Roman" w:eastAsia="仿宋" w:hAnsi="Times New Roman" w:cs="Times New Roman"/>
          <w:bCs/>
          <w:szCs w:val="21"/>
        </w:rPr>
        <w:t xml:space="preserve">a </w:t>
      </w:r>
      <w:r>
        <w:rPr>
          <w:rFonts w:ascii="Times New Roman" w:eastAsia="仿宋" w:hAnsi="Times New Roman" w:cs="Times New Roman" w:hint="eastAsia"/>
          <w:bCs/>
          <w:szCs w:val="21"/>
        </w:rPr>
        <w:t>non-parametric bootstrap with 1000 resamples was employed to assess the model</w:t>
      </w:r>
      <w:r>
        <w:rPr>
          <w:rFonts w:ascii="Times New Roman" w:eastAsia="仿宋" w:hAnsi="Times New Roman" w:cs="Times New Roman"/>
          <w:bCs/>
          <w:szCs w:val="21"/>
        </w:rPr>
        <w:t>’</w:t>
      </w:r>
      <w:r>
        <w:rPr>
          <w:rFonts w:ascii="Times New Roman" w:eastAsia="仿宋" w:hAnsi="Times New Roman" w:cs="Times New Roman" w:hint="eastAsia"/>
          <w:bCs/>
          <w:szCs w:val="21"/>
        </w:rPr>
        <w:t xml:space="preserve">s robustness and discriminative ability. After LASSO analysis was conducted, the following variables were included in the basic predictive model: age, sex, hypertension, diabetes, hyperuricemia, lipid-lowering medications, type of surgery, total output and input, and anesthesia time. An AUC of 0.773 (0.735-0.810) was achieved by the basic predictive model, with an internal validation (bootstrap method 1000 times) AUC of 0.740. When </w:t>
      </w:r>
      <w:proofErr w:type="spellStart"/>
      <w:r>
        <w:rPr>
          <w:rFonts w:ascii="Times New Roman" w:eastAsia="仿宋" w:hAnsi="Times New Roman" w:cs="Times New Roman" w:hint="eastAsia"/>
          <w:bCs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Cs/>
          <w:szCs w:val="21"/>
        </w:rPr>
        <w:t xml:space="preserve">-BMI was added to the basic predictive model, the AUC increased to 0.814 (0.780-0.848), which indicated improved predictive power, and the internal validation AUC rose to 0.785. The AUC was also </w:t>
      </w:r>
      <w:r>
        <w:rPr>
          <w:rFonts w:ascii="Times New Roman" w:eastAsia="仿宋" w:hAnsi="Times New Roman" w:cs="Times New Roman" w:hint="eastAsia"/>
          <w:bCs/>
          <w:szCs w:val="21"/>
        </w:rPr>
        <w:lastRenderedPageBreak/>
        <w:t xml:space="preserve">increased when </w:t>
      </w:r>
      <w:proofErr w:type="spellStart"/>
      <w:r>
        <w:rPr>
          <w:rFonts w:ascii="Times New Roman" w:eastAsia="仿宋" w:hAnsi="Times New Roman" w:cs="Times New Roman" w:hint="eastAsia"/>
          <w:bCs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Cs/>
          <w:szCs w:val="21"/>
        </w:rPr>
        <w:t xml:space="preserve"> or BMI was added to the predictive model, but not as significantly as when </w:t>
      </w:r>
      <w:proofErr w:type="spellStart"/>
      <w:r>
        <w:rPr>
          <w:rFonts w:ascii="Times New Roman" w:eastAsia="仿宋" w:hAnsi="Times New Roman" w:cs="Times New Roman" w:hint="eastAsia"/>
          <w:bCs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Cs/>
          <w:szCs w:val="21"/>
        </w:rPr>
        <w:t xml:space="preserve">-BMI was added (Table 2). When these three indicators were compared, it was found that higher NRI and IDI values were associated with the basic predictive model to which </w:t>
      </w:r>
      <w:proofErr w:type="spellStart"/>
      <w:r>
        <w:rPr>
          <w:rFonts w:ascii="Times New Roman" w:eastAsia="仿宋" w:hAnsi="Times New Roman" w:cs="Times New Roman" w:hint="eastAsia"/>
          <w:bCs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Cs/>
          <w:szCs w:val="21"/>
        </w:rPr>
        <w:t>-BMI had been added.</w:t>
      </w:r>
    </w:p>
    <w:p w14:paraId="649A7056" w14:textId="77777777" w:rsidR="002476E9" w:rsidRDefault="00533571">
      <w:pPr>
        <w:spacing w:line="360" w:lineRule="auto"/>
        <w:rPr>
          <w:rFonts w:ascii="Times New Roman" w:eastAsia="仿宋" w:hAnsi="Times New Roman" w:cs="Times New Roman"/>
          <w:b/>
          <w:color w:val="FF0000"/>
          <w:szCs w:val="21"/>
        </w:rPr>
      </w:pPr>
      <w:r>
        <w:rPr>
          <w:noProof/>
        </w:rPr>
        <w:drawing>
          <wp:inline distT="0" distB="0" distL="0" distR="0" wp14:anchorId="7187C0F6" wp14:editId="0002A105">
            <wp:extent cx="2642235" cy="2642235"/>
            <wp:effectExtent l="0" t="0" r="571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264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7F5D5" wp14:editId="00CEF55A">
            <wp:extent cx="2369185" cy="2369185"/>
            <wp:effectExtent l="0" t="0" r="12065" b="1206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719D8" w14:textId="6280B055" w:rsidR="00533571" w:rsidRDefault="00533571" w:rsidP="00533571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 w:hint="eastAsia"/>
          <w:b/>
          <w:szCs w:val="21"/>
        </w:rPr>
        <w:t>Supplementary Fig</w:t>
      </w:r>
      <w:r>
        <w:rPr>
          <w:rFonts w:ascii="Times New Roman" w:eastAsia="仿宋" w:hAnsi="Times New Roman" w:cs="Times New Roman"/>
          <w:b/>
          <w:szCs w:val="21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1"/>
        </w:rPr>
        <w:t>1</w:t>
      </w:r>
      <w:r w:rsidR="00DC7E50">
        <w:rPr>
          <w:rFonts w:ascii="TimesNewRomanPS-BoldMT" w:eastAsia="TimesNewRomanPS-BoldMT" w:hAnsi="Times New Roman" w:cs="TimesNewRomanPS-BoldMT"/>
          <w:b/>
          <w:bCs/>
          <w:kern w:val="0"/>
          <w:sz w:val="18"/>
          <w:szCs w:val="18"/>
        </w:rPr>
        <w:t>.</w:t>
      </w:r>
      <w:r>
        <w:rPr>
          <w:rFonts w:ascii="Times New Roman" w:eastAsia="仿宋" w:hAnsi="Times New Roman" w:cs="Times New Roman" w:hint="eastAsia"/>
          <w:b/>
          <w:szCs w:val="21"/>
        </w:rPr>
        <w:t xml:space="preserve"> The decision curve analysis and calibration curve of the basic predictive model</w:t>
      </w:r>
      <w:r>
        <w:rPr>
          <w:rFonts w:ascii="Times New Roman" w:eastAsia="仿宋" w:hAnsi="Times New Roman" w:cs="Times New Roman"/>
          <w:b/>
          <w:szCs w:val="21"/>
        </w:rPr>
        <w:t>.</w:t>
      </w:r>
    </w:p>
    <w:p w14:paraId="13D48B6E" w14:textId="77777777" w:rsidR="002476E9" w:rsidRPr="00533571" w:rsidRDefault="002476E9">
      <w:pPr>
        <w:spacing w:line="360" w:lineRule="auto"/>
        <w:rPr>
          <w:rFonts w:ascii="Times New Roman" w:eastAsia="仿宋" w:hAnsi="Times New Roman" w:cs="Times New Roman"/>
          <w:b/>
          <w:color w:val="FF0000"/>
          <w:szCs w:val="21"/>
        </w:rPr>
      </w:pPr>
    </w:p>
    <w:p w14:paraId="3C31166D" w14:textId="5F4371AA" w:rsidR="002476E9" w:rsidRDefault="00533571">
      <w:pPr>
        <w:spacing w:line="360" w:lineRule="auto"/>
      </w:pPr>
      <w:r>
        <w:rPr>
          <w:noProof/>
        </w:rPr>
        <w:drawing>
          <wp:inline distT="0" distB="0" distL="0" distR="0" wp14:anchorId="1EA7409C" wp14:editId="11665C05">
            <wp:extent cx="2590165" cy="25901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259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4E567" wp14:editId="4E415761">
            <wp:extent cx="2559050" cy="2559050"/>
            <wp:effectExtent l="0" t="0" r="1270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4FC99" w14:textId="77C1B49A" w:rsidR="00533571" w:rsidRDefault="00533571" w:rsidP="00533571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 w:hint="eastAsia"/>
          <w:b/>
          <w:szCs w:val="21"/>
        </w:rPr>
        <w:t>Supplementary Fig</w:t>
      </w:r>
      <w:r>
        <w:rPr>
          <w:rFonts w:ascii="Times New Roman" w:eastAsia="仿宋" w:hAnsi="Times New Roman" w:cs="Times New Roman"/>
          <w:b/>
          <w:szCs w:val="21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1"/>
        </w:rPr>
        <w:t>2</w:t>
      </w:r>
      <w:r w:rsidR="00DC7E50">
        <w:rPr>
          <w:rFonts w:ascii="TimesNewRomanPS-BoldMT" w:eastAsia="TimesNewRomanPS-BoldMT" w:hAnsi="Times New Roman" w:cs="TimesNewRomanPS-BoldMT"/>
          <w:b/>
          <w:bCs/>
          <w:kern w:val="0"/>
          <w:sz w:val="18"/>
          <w:szCs w:val="18"/>
        </w:rPr>
        <w:t>.</w:t>
      </w:r>
      <w:r>
        <w:rPr>
          <w:rFonts w:ascii="Times New Roman" w:eastAsia="仿宋" w:hAnsi="Times New Roman" w:cs="Times New Roman" w:hint="eastAsia"/>
          <w:b/>
          <w:szCs w:val="21"/>
        </w:rPr>
        <w:t xml:space="preserve"> The decision curve analysis and calibration curve of the basic predictive model combined with the </w:t>
      </w:r>
      <w:proofErr w:type="spellStart"/>
      <w:r>
        <w:rPr>
          <w:rFonts w:ascii="Times New Roman" w:eastAsia="仿宋" w:hAnsi="Times New Roman" w:cs="Times New Roman" w:hint="eastAsia"/>
          <w:b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/>
          <w:szCs w:val="21"/>
        </w:rPr>
        <w:t>-BMI index</w:t>
      </w:r>
      <w:r>
        <w:rPr>
          <w:rFonts w:ascii="Times New Roman" w:eastAsia="仿宋" w:hAnsi="Times New Roman" w:cs="Times New Roman"/>
          <w:b/>
          <w:szCs w:val="21"/>
        </w:rPr>
        <w:t>.</w:t>
      </w:r>
    </w:p>
    <w:p w14:paraId="396C74AE" w14:textId="77777777" w:rsidR="00533571" w:rsidRPr="00533571" w:rsidRDefault="00533571">
      <w:pPr>
        <w:spacing w:line="360" w:lineRule="auto"/>
      </w:pPr>
    </w:p>
    <w:p w14:paraId="423627BE" w14:textId="77777777" w:rsidR="002476E9" w:rsidRDefault="002476E9">
      <w:pPr>
        <w:spacing w:line="360" w:lineRule="auto"/>
      </w:pPr>
    </w:p>
    <w:p w14:paraId="2B927A1F" w14:textId="77777777" w:rsidR="002476E9" w:rsidRDefault="00533571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BC1F3DA" wp14:editId="1AB4B8A1">
            <wp:extent cx="2630170" cy="2630170"/>
            <wp:effectExtent l="0" t="0" r="1778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63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1BC870" wp14:editId="1EE54343">
            <wp:extent cx="2550160" cy="25501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55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19CEE" w14:textId="463932A3" w:rsidR="00533571" w:rsidRDefault="00533571" w:rsidP="00533571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 w:hint="eastAsia"/>
          <w:b/>
          <w:szCs w:val="21"/>
        </w:rPr>
        <w:t>Supplementary Fig</w:t>
      </w:r>
      <w:r>
        <w:rPr>
          <w:rFonts w:ascii="Times New Roman" w:eastAsia="仿宋" w:hAnsi="Times New Roman" w:cs="Times New Roman"/>
          <w:b/>
          <w:szCs w:val="21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1"/>
        </w:rPr>
        <w:t>3</w:t>
      </w:r>
      <w:r w:rsidR="00DC7E50">
        <w:rPr>
          <w:rFonts w:ascii="TimesNewRomanPS-BoldMT" w:eastAsia="TimesNewRomanPS-BoldMT" w:hAnsi="Times New Roman" w:cs="TimesNewRomanPS-BoldMT"/>
          <w:b/>
          <w:bCs/>
          <w:kern w:val="0"/>
          <w:sz w:val="18"/>
          <w:szCs w:val="18"/>
        </w:rPr>
        <w:t>.</w:t>
      </w:r>
      <w:r>
        <w:rPr>
          <w:rFonts w:ascii="Times New Roman" w:eastAsia="仿宋" w:hAnsi="Times New Roman" w:cs="Times New Roman" w:hint="eastAsia"/>
          <w:b/>
          <w:szCs w:val="21"/>
        </w:rPr>
        <w:t xml:space="preserve"> The decision curve analysis and calibration curve of the basic predictive model combined with the </w:t>
      </w:r>
      <w:proofErr w:type="spellStart"/>
      <w:r>
        <w:rPr>
          <w:rFonts w:ascii="Times New Roman" w:eastAsia="仿宋" w:hAnsi="Times New Roman" w:cs="Times New Roman" w:hint="eastAsia"/>
          <w:b/>
          <w:szCs w:val="21"/>
        </w:rPr>
        <w:t>TyG</w:t>
      </w:r>
      <w:proofErr w:type="spellEnd"/>
      <w:r>
        <w:rPr>
          <w:rFonts w:ascii="Times New Roman" w:eastAsia="仿宋" w:hAnsi="Times New Roman" w:cs="Times New Roman" w:hint="eastAsia"/>
          <w:b/>
          <w:szCs w:val="21"/>
        </w:rPr>
        <w:t xml:space="preserve"> index</w:t>
      </w:r>
      <w:r>
        <w:rPr>
          <w:rFonts w:ascii="Times New Roman" w:eastAsia="仿宋" w:hAnsi="Times New Roman" w:cs="Times New Roman"/>
          <w:b/>
          <w:szCs w:val="21"/>
        </w:rPr>
        <w:t>.</w:t>
      </w:r>
    </w:p>
    <w:p w14:paraId="2D63CF61" w14:textId="77777777" w:rsidR="002476E9" w:rsidRPr="00533571" w:rsidRDefault="002476E9">
      <w:pPr>
        <w:spacing w:line="360" w:lineRule="auto"/>
      </w:pPr>
    </w:p>
    <w:p w14:paraId="5FC02170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68CF9F3A" w14:textId="77777777" w:rsidR="002476E9" w:rsidRDefault="002476E9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</w:p>
    <w:p w14:paraId="593ED14E" w14:textId="77777777" w:rsidR="002476E9" w:rsidRDefault="00533571">
      <w:pPr>
        <w:spacing w:line="360" w:lineRule="auto"/>
      </w:pPr>
      <w:r>
        <w:rPr>
          <w:noProof/>
        </w:rPr>
        <w:drawing>
          <wp:inline distT="0" distB="0" distL="0" distR="0" wp14:anchorId="5C521B42" wp14:editId="54EC9C7A">
            <wp:extent cx="2584450" cy="2584450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3BC492" wp14:editId="53F0DD1F">
            <wp:extent cx="2584450" cy="2584450"/>
            <wp:effectExtent l="0" t="0" r="635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DC993" w14:textId="2932AC10" w:rsidR="00533571" w:rsidRDefault="00533571" w:rsidP="00533571">
      <w:pPr>
        <w:spacing w:line="360" w:lineRule="auto"/>
        <w:rPr>
          <w:rFonts w:ascii="Times New Roman" w:eastAsia="仿宋" w:hAnsi="Times New Roman" w:cs="Times New Roman"/>
          <w:b/>
          <w:szCs w:val="21"/>
        </w:rPr>
      </w:pPr>
      <w:r>
        <w:rPr>
          <w:rFonts w:ascii="Times New Roman" w:eastAsia="仿宋" w:hAnsi="Times New Roman" w:cs="Times New Roman" w:hint="eastAsia"/>
          <w:b/>
          <w:szCs w:val="21"/>
        </w:rPr>
        <w:t>Supplementary Fig</w:t>
      </w:r>
      <w:r>
        <w:rPr>
          <w:rFonts w:ascii="Times New Roman" w:eastAsia="仿宋" w:hAnsi="Times New Roman" w:cs="Times New Roman"/>
          <w:b/>
          <w:szCs w:val="21"/>
        </w:rPr>
        <w:t xml:space="preserve">. </w:t>
      </w:r>
      <w:r>
        <w:rPr>
          <w:rFonts w:ascii="Times New Roman" w:eastAsia="仿宋" w:hAnsi="Times New Roman" w:cs="Times New Roman" w:hint="eastAsia"/>
          <w:b/>
          <w:szCs w:val="21"/>
        </w:rPr>
        <w:t>4</w:t>
      </w:r>
      <w:r w:rsidR="00DC7E50">
        <w:rPr>
          <w:rFonts w:ascii="TimesNewRomanPS-BoldMT" w:eastAsia="TimesNewRomanPS-BoldMT" w:hAnsi="Times New Roman" w:cs="TimesNewRomanPS-BoldMT"/>
          <w:b/>
          <w:bCs/>
          <w:kern w:val="0"/>
          <w:sz w:val="18"/>
          <w:szCs w:val="18"/>
        </w:rPr>
        <w:t>.</w:t>
      </w:r>
      <w:r>
        <w:rPr>
          <w:rFonts w:ascii="Times New Roman" w:eastAsia="仿宋" w:hAnsi="Times New Roman" w:cs="Times New Roman" w:hint="eastAsia"/>
          <w:b/>
          <w:szCs w:val="21"/>
        </w:rPr>
        <w:t xml:space="preserve"> The decision curve analysis and calibration curve of the basic predictive model combined with the BMI</w:t>
      </w:r>
      <w:r>
        <w:rPr>
          <w:rFonts w:ascii="Times New Roman" w:eastAsia="仿宋" w:hAnsi="Times New Roman" w:cs="Times New Roman"/>
          <w:b/>
          <w:szCs w:val="21"/>
        </w:rPr>
        <w:t>.</w:t>
      </w:r>
    </w:p>
    <w:p w14:paraId="59F0906D" w14:textId="77777777" w:rsidR="002476E9" w:rsidRPr="00533571" w:rsidRDefault="002476E9">
      <w:pPr>
        <w:spacing w:line="360" w:lineRule="auto"/>
      </w:pPr>
    </w:p>
    <w:p w14:paraId="7CE18DD2" w14:textId="77777777" w:rsidR="002476E9" w:rsidRDefault="002476E9">
      <w:pPr>
        <w:spacing w:line="360" w:lineRule="auto"/>
      </w:pPr>
    </w:p>
    <w:p w14:paraId="2AAAB252" w14:textId="77777777" w:rsidR="002476E9" w:rsidRDefault="002476E9">
      <w:pPr>
        <w:spacing w:line="360" w:lineRule="auto"/>
      </w:pPr>
    </w:p>
    <w:sectPr w:rsidR="00247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Times New Roman"/>
    <w:charset w:val="00"/>
    <w:family w:val="roman"/>
    <w:pitch w:val="default"/>
  </w:font>
  <w:font w:name="TimesNewRomanPS-Bold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MDczNzIxMjM1NzRW0lEKTi0uzszPAykwrAUAebmqKSwAAAA="/>
    <w:docVar w:name="KY_MEDREF_DOCUID" w:val="{5ECBCB6D-42BB-4B22-B4A8-A5AAFE407C72}"/>
    <w:docVar w:name="KY_MEDREF_VERSION" w:val="3"/>
  </w:docVars>
  <w:rsids>
    <w:rsidRoot w:val="009C0941"/>
    <w:rsid w:val="00002B23"/>
    <w:rsid w:val="00022DB8"/>
    <w:rsid w:val="0003184A"/>
    <w:rsid w:val="00036AB9"/>
    <w:rsid w:val="000E087E"/>
    <w:rsid w:val="002476E9"/>
    <w:rsid w:val="002939EB"/>
    <w:rsid w:val="002E4C55"/>
    <w:rsid w:val="00307735"/>
    <w:rsid w:val="00316674"/>
    <w:rsid w:val="00323EF5"/>
    <w:rsid w:val="00324648"/>
    <w:rsid w:val="00427CD1"/>
    <w:rsid w:val="00441E48"/>
    <w:rsid w:val="00491CF5"/>
    <w:rsid w:val="004E3670"/>
    <w:rsid w:val="00527C28"/>
    <w:rsid w:val="00533571"/>
    <w:rsid w:val="005A00FC"/>
    <w:rsid w:val="00622FAF"/>
    <w:rsid w:val="0066242D"/>
    <w:rsid w:val="006E2BFE"/>
    <w:rsid w:val="00776F0B"/>
    <w:rsid w:val="008005BD"/>
    <w:rsid w:val="00840837"/>
    <w:rsid w:val="008E1B06"/>
    <w:rsid w:val="00970C6E"/>
    <w:rsid w:val="00973CF2"/>
    <w:rsid w:val="00991F3C"/>
    <w:rsid w:val="009C0941"/>
    <w:rsid w:val="00A46D7C"/>
    <w:rsid w:val="00A75754"/>
    <w:rsid w:val="00AD0C8F"/>
    <w:rsid w:val="00AD352E"/>
    <w:rsid w:val="00B43166"/>
    <w:rsid w:val="00C31B13"/>
    <w:rsid w:val="00C5197F"/>
    <w:rsid w:val="00C64C47"/>
    <w:rsid w:val="00C74FEB"/>
    <w:rsid w:val="00D65754"/>
    <w:rsid w:val="00DC7E50"/>
    <w:rsid w:val="00E12790"/>
    <w:rsid w:val="00E919F5"/>
    <w:rsid w:val="00E96016"/>
    <w:rsid w:val="00ED4BDD"/>
    <w:rsid w:val="00F01039"/>
    <w:rsid w:val="00F53166"/>
    <w:rsid w:val="00F85323"/>
    <w:rsid w:val="00F9373A"/>
    <w:rsid w:val="010345BD"/>
    <w:rsid w:val="024837DC"/>
    <w:rsid w:val="054838F8"/>
    <w:rsid w:val="05956642"/>
    <w:rsid w:val="05BA7E99"/>
    <w:rsid w:val="07EA5872"/>
    <w:rsid w:val="08F729C9"/>
    <w:rsid w:val="0A0015A9"/>
    <w:rsid w:val="10833C11"/>
    <w:rsid w:val="110929D0"/>
    <w:rsid w:val="123E39B3"/>
    <w:rsid w:val="180A58E4"/>
    <w:rsid w:val="196B16E7"/>
    <w:rsid w:val="19D43730"/>
    <w:rsid w:val="1C125938"/>
    <w:rsid w:val="1D1D115D"/>
    <w:rsid w:val="1E2A1B70"/>
    <w:rsid w:val="1E641526"/>
    <w:rsid w:val="263A2B6C"/>
    <w:rsid w:val="2A663A89"/>
    <w:rsid w:val="2CD6145C"/>
    <w:rsid w:val="2E6C3ADF"/>
    <w:rsid w:val="2F4F0640"/>
    <w:rsid w:val="34574ACF"/>
    <w:rsid w:val="362A1602"/>
    <w:rsid w:val="3A1C460B"/>
    <w:rsid w:val="3BB16FD5"/>
    <w:rsid w:val="3C687FDC"/>
    <w:rsid w:val="3EAD3546"/>
    <w:rsid w:val="407F58F4"/>
    <w:rsid w:val="41E2613A"/>
    <w:rsid w:val="439B2A45"/>
    <w:rsid w:val="4E6210E9"/>
    <w:rsid w:val="50904BF3"/>
    <w:rsid w:val="53BF452D"/>
    <w:rsid w:val="586E02D0"/>
    <w:rsid w:val="598616E4"/>
    <w:rsid w:val="59946800"/>
    <w:rsid w:val="59B83EF9"/>
    <w:rsid w:val="5AAD2517"/>
    <w:rsid w:val="5B4B2380"/>
    <w:rsid w:val="5B521EEB"/>
    <w:rsid w:val="5E94387E"/>
    <w:rsid w:val="5F962DD4"/>
    <w:rsid w:val="5FC30F01"/>
    <w:rsid w:val="6113099A"/>
    <w:rsid w:val="628F5B29"/>
    <w:rsid w:val="65073EEF"/>
    <w:rsid w:val="65826D65"/>
    <w:rsid w:val="676A6106"/>
    <w:rsid w:val="67FC4924"/>
    <w:rsid w:val="683A5BC6"/>
    <w:rsid w:val="68CD1043"/>
    <w:rsid w:val="70305654"/>
    <w:rsid w:val="73292630"/>
    <w:rsid w:val="773A78A3"/>
    <w:rsid w:val="78411105"/>
    <w:rsid w:val="78591FAB"/>
    <w:rsid w:val="78EF6C3C"/>
    <w:rsid w:val="7A107113"/>
    <w:rsid w:val="7B457735"/>
    <w:rsid w:val="7C66738C"/>
    <w:rsid w:val="7C6D24C9"/>
    <w:rsid w:val="7D17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B3073"/>
  <w15:docId w15:val="{DAF6F958-6B24-48AF-8D7C-C1C4A353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paragraph" w:styleId="ac">
    <w:name w:val="annotation subject"/>
    <w:basedOn w:val="a3"/>
    <w:next w:val="a3"/>
    <w:link w:val="ad"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Pr>
      <w:sz w:val="21"/>
      <w:szCs w:val="21"/>
    </w:rPr>
  </w:style>
  <w:style w:type="paragraph" w:customStyle="1" w:styleId="TableCaption">
    <w:name w:val="Table Caption"/>
    <w:basedOn w:val="ImageCaption"/>
    <w:qFormat/>
  </w:style>
  <w:style w:type="paragraph" w:customStyle="1" w:styleId="ImageCaption">
    <w:name w:val="Image Caption"/>
    <w:basedOn w:val="a"/>
    <w:qFormat/>
    <w:pPr>
      <w:jc w:val="center"/>
    </w:pPr>
    <w:rPr>
      <w:b/>
      <w:i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1125</Words>
  <Characters>6171</Characters>
  <Application>Microsoft Office Word</Application>
  <DocSecurity>0</DocSecurity>
  <Lines>51</Lines>
  <Paragraphs>14</Paragraphs>
  <ScaleCrop>false</ScaleCrop>
  <Company>Microsoft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汤杨蓝</cp:lastModifiedBy>
  <cp:revision>4</cp:revision>
  <dcterms:created xsi:type="dcterms:W3CDTF">2025-12-11T03:36:00Z</dcterms:created>
  <dcterms:modified xsi:type="dcterms:W3CDTF">2025-12-11T05:43:00Z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eyJoZGlkIjoiZjI3MTJjZWQ0NjUzOGI4NGJjMzA4NzE4NzFlYzY5MjkiLCJ1c2VySWQiOiIzMjQxODc5NzAifQ==</vt:lpwstr>
  </property>
  <property fmtid="{D5CDD505-2E9C-101B-9397-08002B2CF9AE}" pid="4" name="ICV">
    <vt:lpwstr>68A96DA6FD3F4E638B75705925ADF01F_12</vt:lpwstr>
  </property>
  <property fmtid="{D5CDD505-2E9C-101B-9397-08002B2CF9AE}" pid="5" name="GrammarlyDocumentId">
    <vt:lpwstr>617b38c4-3742-479b-8eb6-0519f41e8305</vt:lpwstr>
  </property>
</Properties>
</file>